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560C" w14:textId="7778974A" w:rsidR="41F7E4DE" w:rsidRDefault="41F7E4DE" w:rsidP="22D19CE8">
      <w:pPr>
        <w:jc w:val="center"/>
      </w:pPr>
      <w:r>
        <w:rPr>
          <w:noProof/>
        </w:rPr>
        <w:drawing>
          <wp:inline distT="0" distB="0" distL="0" distR="0" wp14:anchorId="0CB5C56D" wp14:editId="0E99D674">
            <wp:extent cx="1781175" cy="1695450"/>
            <wp:effectExtent l="0" t="0" r="0" b="0"/>
            <wp:docPr id="1766724977" name="Picture 176672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DBDC5" w14:textId="41D90709" w:rsidR="41F7E4DE" w:rsidRDefault="41F7E4DE" w:rsidP="22D19CE8">
      <w:pPr>
        <w:jc w:val="center"/>
        <w:rPr>
          <w:b/>
          <w:bCs/>
          <w:sz w:val="28"/>
          <w:szCs w:val="28"/>
        </w:rPr>
      </w:pPr>
      <w:r w:rsidRPr="22D19CE8">
        <w:rPr>
          <w:b/>
          <w:bCs/>
          <w:sz w:val="28"/>
          <w:szCs w:val="28"/>
        </w:rPr>
        <w:t>Program Review Timeline and To-Dos Checklist</w:t>
      </w:r>
    </w:p>
    <w:p w14:paraId="48E718E6" w14:textId="3B7E8CD5" w:rsidR="22D19CE8" w:rsidRDefault="22D19CE8" w:rsidP="22D19CE8"/>
    <w:p w14:paraId="4296A55F" w14:textId="56626661" w:rsidR="05C97FDC" w:rsidRDefault="05C97FDC" w:rsidP="22D19CE8">
      <w:pPr>
        <w:spacing w:after="20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2D19CE8">
        <w:rPr>
          <w:rFonts w:ascii="Georgia" w:eastAsia="Georgia" w:hAnsi="Georgia" w:cs="Georgia"/>
          <w:b/>
          <w:bCs/>
          <w:sz w:val="24"/>
          <w:szCs w:val="24"/>
        </w:rPr>
        <w:t xml:space="preserve">Department: </w:t>
      </w:r>
    </w:p>
    <w:p w14:paraId="4D3103CC" w14:textId="4FDE1C45" w:rsidR="05C97FDC" w:rsidRDefault="05C97FDC" w:rsidP="22D19CE8">
      <w:pPr>
        <w:spacing w:after="20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2D19CE8">
        <w:rPr>
          <w:rFonts w:ascii="Georgia" w:eastAsia="Georgia" w:hAnsi="Georgia" w:cs="Georgia"/>
          <w:b/>
          <w:bCs/>
          <w:sz w:val="24"/>
          <w:szCs w:val="24"/>
        </w:rPr>
        <w:t xml:space="preserve">Date of Review: </w:t>
      </w:r>
    </w:p>
    <w:p w14:paraId="0259B040" w14:textId="2D122A6A" w:rsidR="05C97FDC" w:rsidRDefault="05C97FDC" w:rsidP="22D19CE8">
      <w:pPr>
        <w:spacing w:after="20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2D19CE8">
        <w:rPr>
          <w:rFonts w:ascii="Georgia" w:eastAsia="Georgia" w:hAnsi="Georgia" w:cs="Georgia"/>
          <w:b/>
          <w:bCs/>
          <w:sz w:val="24"/>
          <w:szCs w:val="24"/>
        </w:rPr>
        <w:t xml:space="preserve">Key Contacts: </w:t>
      </w:r>
    </w:p>
    <w:p w14:paraId="30311719" w14:textId="228A8E81" w:rsidR="05C97FDC" w:rsidRDefault="05C97FDC" w:rsidP="22D19CE8">
      <w:pPr>
        <w:spacing w:after="20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2D19CE8">
        <w:rPr>
          <w:rFonts w:ascii="Georgia" w:eastAsia="Georgia" w:hAnsi="Georgia" w:cs="Georgia"/>
          <w:sz w:val="24"/>
          <w:szCs w:val="24"/>
        </w:rPr>
        <w:t xml:space="preserve">Director: </w:t>
      </w:r>
    </w:p>
    <w:p w14:paraId="0C2CEACE" w14:textId="75814CF4" w:rsidR="05C97FDC" w:rsidRDefault="05C97FDC" w:rsidP="22D19CE8">
      <w:pPr>
        <w:spacing w:after="20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 w:rsidRPr="22D19CE8">
        <w:rPr>
          <w:rFonts w:ascii="Georgia" w:eastAsia="Georgia" w:hAnsi="Georgia" w:cs="Georgia"/>
          <w:sz w:val="24"/>
          <w:szCs w:val="24"/>
        </w:rPr>
        <w:t>Admin Support:</w:t>
      </w:r>
    </w:p>
    <w:p w14:paraId="576BEF8B" w14:textId="54B77359" w:rsidR="05C97FDC" w:rsidRDefault="05C97FDC" w:rsidP="22D19CE8">
      <w:pPr>
        <w:spacing w:after="200" w:line="240" w:lineRule="auto"/>
        <w:ind w:firstLine="720"/>
        <w:rPr>
          <w:rFonts w:ascii="Georgia" w:eastAsia="Georgia" w:hAnsi="Georgia" w:cs="Georgia"/>
          <w:b/>
          <w:bCs/>
          <w:sz w:val="24"/>
          <w:szCs w:val="24"/>
        </w:rPr>
      </w:pPr>
      <w:r w:rsidRPr="22D19CE8">
        <w:rPr>
          <w:rFonts w:ascii="Georgia" w:eastAsia="Georgia" w:hAnsi="Georgia" w:cs="Georgia"/>
          <w:sz w:val="24"/>
          <w:szCs w:val="24"/>
        </w:rPr>
        <w:t xml:space="preserve">External </w:t>
      </w:r>
      <w:r w:rsidR="002B5307">
        <w:rPr>
          <w:rFonts w:ascii="Georgia" w:eastAsia="Georgia" w:hAnsi="Georgia" w:cs="Georgia"/>
          <w:sz w:val="24"/>
          <w:szCs w:val="24"/>
        </w:rPr>
        <w:t xml:space="preserve">Review </w:t>
      </w:r>
      <w:r w:rsidRPr="22D19CE8">
        <w:rPr>
          <w:rFonts w:ascii="Georgia" w:eastAsia="Georgia" w:hAnsi="Georgia" w:cs="Georgia"/>
          <w:sz w:val="24"/>
          <w:szCs w:val="24"/>
        </w:rPr>
        <w:t>Team Lead:</w:t>
      </w:r>
      <w:r w:rsidRPr="22D19CE8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</w:p>
    <w:p w14:paraId="1CD0F18E" w14:textId="0B3BB8C3" w:rsidR="008B615F" w:rsidRPr="0080229A" w:rsidRDefault="008B615F" w:rsidP="008B615F">
      <w:pPr>
        <w:spacing w:after="200" w:line="240" w:lineRule="auto"/>
        <w:rPr>
          <w:rFonts w:ascii="Georgia" w:eastAsia="Georgia" w:hAnsi="Georgia" w:cs="Georgia"/>
          <w:sz w:val="24"/>
          <w:szCs w:val="24"/>
        </w:rPr>
      </w:pPr>
      <w:r w:rsidRPr="0080229A">
        <w:rPr>
          <w:rFonts w:ascii="Georgia" w:eastAsia="Georgia" w:hAnsi="Georgia" w:cs="Georgia"/>
          <w:b/>
          <w:bCs/>
          <w:i/>
          <w:iCs/>
          <w:sz w:val="24"/>
          <w:szCs w:val="24"/>
        </w:rPr>
        <w:t>Note:</w:t>
      </w:r>
      <w:r w:rsidRPr="0080229A">
        <w:rPr>
          <w:rFonts w:ascii="Georgia" w:eastAsia="Georgia" w:hAnsi="Georgia" w:cs="Georgia"/>
          <w:sz w:val="24"/>
          <w:szCs w:val="24"/>
        </w:rPr>
        <w:t xml:space="preserve"> All appendices are found in the </w:t>
      </w:r>
      <w:hyperlink r:id="rId8" w:history="1">
        <w:r w:rsidR="0080229A" w:rsidRPr="0080229A">
          <w:rPr>
            <w:rStyle w:val="Hyperlink"/>
            <w:rFonts w:ascii="Georgia" w:eastAsia="Georgia" w:hAnsi="Georgia" w:cs="Georgia"/>
            <w:sz w:val="24"/>
            <w:szCs w:val="24"/>
          </w:rPr>
          <w:t>Student Life Program Review Guidelines</w:t>
        </w:r>
      </w:hyperlink>
    </w:p>
    <w:tbl>
      <w:tblPr>
        <w:tblStyle w:val="TableGrid"/>
        <w:tblW w:w="9445" w:type="dxa"/>
        <w:tblLayout w:type="fixed"/>
        <w:tblLook w:val="06A0" w:firstRow="1" w:lastRow="0" w:firstColumn="1" w:lastColumn="0" w:noHBand="1" w:noVBand="1"/>
      </w:tblPr>
      <w:tblGrid>
        <w:gridCol w:w="9445"/>
      </w:tblGrid>
      <w:tr w:rsidR="00D97DCD" w14:paraId="0C29ED56" w14:textId="77777777" w:rsidTr="00D97DCD">
        <w:tc>
          <w:tcPr>
            <w:tcW w:w="9445" w:type="dxa"/>
          </w:tcPr>
          <w:p w14:paraId="213E8BF0" w14:textId="12CB0B10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Timeline</w:t>
            </w:r>
            <w:r w:rsidR="002A0257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 and To-Dos</w:t>
            </w:r>
          </w:p>
        </w:tc>
      </w:tr>
      <w:tr w:rsidR="00D97DCD" w14:paraId="79E3B12C" w14:textId="77777777" w:rsidTr="00D97DCD">
        <w:tc>
          <w:tcPr>
            <w:tcW w:w="9445" w:type="dxa"/>
          </w:tcPr>
          <w:p w14:paraId="710D61AE" w14:textId="17D66AB0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Twelve months before: </w:t>
            </w:r>
          </w:p>
          <w:p w14:paraId="22C7FDC0" w14:textId="07077F18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DASI.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Schedule program review kickoff meeting with </w:t>
            </w:r>
            <w:r w:rsidR="005830D3"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irector</w:t>
            </w:r>
            <w:r w:rsidR="007C4B8F">
              <w:rPr>
                <w:rFonts w:ascii="Georgia" w:eastAsia="Georgia" w:hAnsi="Georgia" w:cs="Georgia"/>
                <w:sz w:val="24"/>
                <w:szCs w:val="24"/>
              </w:rPr>
              <w:t>(s)</w:t>
            </w:r>
            <w:r w:rsidR="00281775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4EED0202" w14:textId="4F3D932A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Director.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Email DASI the preferred dates for program review (Sun/Mon/Tues)</w:t>
            </w:r>
          </w:p>
          <w:p w14:paraId="294A0607" w14:textId="0C20C082" w:rsidR="006F6872" w:rsidRPr="006F6872" w:rsidRDefault="00D97DCD" w:rsidP="004E6FE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DASI.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Confirm dates with </w:t>
            </w:r>
            <w:r w:rsidR="005830D3"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irector after verifying with Vice Chancellor, Associate Vice </w:t>
            </w:r>
            <w:proofErr w:type="gramStart"/>
            <w:r w:rsidRPr="22D19CE8">
              <w:rPr>
                <w:rFonts w:ascii="Georgia" w:eastAsia="Georgia" w:hAnsi="Georgia" w:cs="Georgia"/>
                <w:sz w:val="24"/>
                <w:szCs w:val="24"/>
              </w:rPr>
              <w:t>Chancellor</w:t>
            </w:r>
            <w:proofErr w:type="gramEnd"/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or the assigned Assistant Vice Chancellor. DASI will send 3 calendar invites</w:t>
            </w:r>
            <w:r w:rsidR="006F6872">
              <w:rPr>
                <w:rFonts w:ascii="Georgia" w:eastAsia="Georgia" w:hAnsi="Georgia" w:cs="Georgia"/>
                <w:sz w:val="24"/>
                <w:szCs w:val="24"/>
              </w:rPr>
              <w:t>: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7DD7A885" w14:textId="0E73AED9" w:rsidR="006F6872" w:rsidRPr="006F6872" w:rsidRDefault="005830D3" w:rsidP="006F687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F6872">
              <w:rPr>
                <w:rFonts w:ascii="Georgia" w:eastAsia="Georgia" w:hAnsi="Georgia" w:cs="Georgia"/>
                <w:sz w:val="24"/>
                <w:szCs w:val="24"/>
              </w:rPr>
              <w:t>Kick-off Meeting</w:t>
            </w:r>
            <w:r w:rsidR="00D97DCD" w:rsidRPr="006F6872">
              <w:rPr>
                <w:rFonts w:ascii="Georgia" w:eastAsia="Georgia" w:hAnsi="Georgia" w:cs="Georgia"/>
                <w:sz w:val="24"/>
                <w:szCs w:val="24"/>
              </w:rPr>
              <w:t xml:space="preserve"> - Sunday @6p </w:t>
            </w:r>
          </w:p>
          <w:p w14:paraId="3775761A" w14:textId="0B8AD418" w:rsidR="006F6872" w:rsidRPr="006F6872" w:rsidRDefault="00D97DCD" w:rsidP="006F687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F6872">
              <w:rPr>
                <w:rFonts w:ascii="Georgia" w:eastAsia="Georgia" w:hAnsi="Georgia" w:cs="Georgia"/>
                <w:sz w:val="24"/>
                <w:szCs w:val="24"/>
              </w:rPr>
              <w:t>Senior Leadership Breakfast – Monday @8a</w:t>
            </w:r>
          </w:p>
          <w:p w14:paraId="6BC7B3F4" w14:textId="60C5D28D" w:rsidR="004E6FE2" w:rsidRPr="006F6872" w:rsidRDefault="00D97DCD" w:rsidP="006F687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F6872">
              <w:rPr>
                <w:rFonts w:ascii="Georgia" w:eastAsia="Georgia" w:hAnsi="Georgia" w:cs="Georgia"/>
                <w:sz w:val="24"/>
                <w:szCs w:val="24"/>
              </w:rPr>
              <w:t xml:space="preserve">Preliminary Oral Report - Tuesday @2p </w:t>
            </w:r>
          </w:p>
          <w:p w14:paraId="269C2E13" w14:textId="6D4549C4" w:rsidR="00D97DCD" w:rsidRPr="004E6FE2" w:rsidRDefault="00D97DCD" w:rsidP="004E6FE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6FE2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Director.</w:t>
            </w:r>
            <w:r w:rsidRPr="004E6FE2">
              <w:rPr>
                <w:rFonts w:ascii="Georgia" w:eastAsia="Georgia" w:hAnsi="Georgia" w:cs="Georgia"/>
                <w:sz w:val="24"/>
                <w:szCs w:val="24"/>
              </w:rPr>
              <w:t xml:space="preserve"> Send general announcement email notifying leadership team and department staff of program review dates (See </w:t>
            </w:r>
            <w:hyperlink r:id="rId9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P</w:t>
              </w:r>
            </w:hyperlink>
            <w:r w:rsidRPr="004E6FE2">
              <w:rPr>
                <w:rFonts w:ascii="Georgia" w:eastAsia="Georgia" w:hAnsi="Georgia" w:cs="Georgia"/>
                <w:sz w:val="24"/>
                <w:szCs w:val="24"/>
              </w:rPr>
              <w:t>)</w:t>
            </w:r>
            <w:r w:rsidR="00281775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2715BD0B" w14:textId="0CA595AF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Director.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Budget travel expenses for the external program review team in budget reviews (</w:t>
            </w:r>
            <w:r w:rsidR="00281775">
              <w:rPr>
                <w:rFonts w:ascii="Georgia" w:eastAsia="Georgia" w:hAnsi="Georgia" w:cs="Georgia"/>
                <w:sz w:val="24"/>
                <w:szCs w:val="24"/>
              </w:rPr>
              <w:t xml:space="preserve">The Office of the Vice Chancellor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will support the taxable honorariums)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0C788D75" w14:textId="387862F8" w:rsidR="00D97DCD" w:rsidRDefault="00BD4B44" w:rsidP="00BD4B44">
            <w:pPr>
              <w:tabs>
                <w:tab w:val="left" w:pos="1014"/>
              </w:tabs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ab/>
            </w:r>
          </w:p>
          <w:p w14:paraId="7CA3CBF2" w14:textId="674F9811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61B4B401" w14:textId="6D1C9598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Six months before:</w:t>
            </w:r>
          </w:p>
          <w:p w14:paraId="315FC185" w14:textId="47152BEF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Director.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Send list of 5-7 proposed external reviewers to DASI for approval (</w:t>
            </w:r>
            <w:hyperlink r:id="rId10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F</w:t>
              </w:r>
            </w:hyperlink>
            <w:r w:rsidRPr="22D19CE8">
              <w:rPr>
                <w:rFonts w:ascii="Georgia" w:eastAsia="Georgia" w:hAnsi="Georgia" w:cs="Georgia"/>
                <w:sz w:val="24"/>
                <w:szCs w:val="24"/>
              </w:rPr>
              <w:t>)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0BC21A4D" w14:textId="0D1E2D80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Director.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Once approved, the department </w:t>
            </w:r>
            <w:r w:rsidR="005830D3"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irector contacts the top three reviewers to gain verbal consent and inform them that the DASI will contact them in the next week with more information.</w:t>
            </w:r>
          </w:p>
          <w:p w14:paraId="017EF6E6" w14:textId="6DF342B5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DASI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Secure agreements from the top three external program reviewers through Zoom conference.</w:t>
            </w:r>
          </w:p>
          <w:p w14:paraId="246051F0" w14:textId="5A289E56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11801CC" w14:textId="42CE863F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Five months before:</w:t>
            </w:r>
          </w:p>
          <w:p w14:paraId="1500A77A" w14:textId="29DCEA0B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Director/DASI.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Department orientation meeting with staff (</w:t>
            </w:r>
            <w:hyperlink r:id="rId11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D</w:t>
              </w:r>
            </w:hyperlink>
            <w:r w:rsidRPr="22D19CE8">
              <w:rPr>
                <w:rFonts w:ascii="Georgia" w:eastAsia="Georgia" w:hAnsi="Georgia" w:cs="Georgia"/>
                <w:sz w:val="24"/>
                <w:szCs w:val="24"/>
              </w:rPr>
              <w:t>)</w:t>
            </w:r>
            <w:r w:rsidR="008D6C19">
              <w:rPr>
                <w:rFonts w:ascii="Georgia" w:eastAsia="Georgia" w:hAnsi="Georgia" w:cs="Georgia"/>
                <w:sz w:val="24"/>
                <w:szCs w:val="24"/>
              </w:rPr>
              <w:t xml:space="preserve">. </w:t>
            </w:r>
            <w:r w:rsidR="008D6C19" w:rsidRPr="22D19CE8">
              <w:rPr>
                <w:rFonts w:ascii="Georgia" w:eastAsia="Georgia" w:hAnsi="Georgia" w:cs="Georgia"/>
                <w:sz w:val="24"/>
                <w:szCs w:val="24"/>
              </w:rPr>
              <w:t>Create department Self-Study outline in Compliance Assist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6E4D5318" w14:textId="520463AB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Director/Staff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8D6C19">
              <w:rPr>
                <w:rFonts w:ascii="Georgia" w:eastAsia="Georgia" w:hAnsi="Georgia" w:cs="Georgia"/>
                <w:sz w:val="24"/>
                <w:szCs w:val="24"/>
              </w:rPr>
              <w:t xml:space="preserve">Determine what standards will be used to </w:t>
            </w:r>
            <w:r w:rsidR="00B657CC">
              <w:rPr>
                <w:rFonts w:ascii="Georgia" w:eastAsia="Georgia" w:hAnsi="Georgia" w:cs="Georgia"/>
                <w:sz w:val="24"/>
                <w:szCs w:val="24"/>
              </w:rPr>
              <w:t>for Self-Study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6540F44B" w14:textId="00477FF4" w:rsidR="00D97DCD" w:rsidRPr="00B657CC" w:rsidRDefault="00D97DCD" w:rsidP="00B657C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Director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B657CC">
              <w:rPr>
                <w:rFonts w:ascii="Georgia" w:eastAsia="Georgia" w:hAnsi="Georgia" w:cs="Georgia"/>
                <w:sz w:val="24"/>
                <w:szCs w:val="24"/>
              </w:rPr>
              <w:t>Send preferred outline for Compliance Assist</w:t>
            </w:r>
            <w:r w:rsidR="005830D3">
              <w:rPr>
                <w:rFonts w:ascii="Georgia" w:eastAsia="Georgia" w:hAnsi="Georgia" w:cs="Georgia"/>
                <w:sz w:val="24"/>
                <w:szCs w:val="24"/>
              </w:rPr>
              <w:t xml:space="preserve"> on word document. </w:t>
            </w:r>
            <w:r w:rsidRPr="00B657CC">
              <w:rPr>
                <w:rFonts w:ascii="Georgia" w:eastAsia="Georgia" w:hAnsi="Georgia" w:cs="Georgia"/>
                <w:sz w:val="24"/>
                <w:szCs w:val="24"/>
              </w:rPr>
              <w:t>Assign portions of Self-Study to the various parties for completion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1B3BE496" w14:textId="6BADD241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Three months before:</w:t>
            </w:r>
          </w:p>
          <w:p w14:paraId="52F6B271" w14:textId="3C506D57" w:rsidR="00383393" w:rsidRDefault="00D97DCD" w:rsidP="0038339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Director.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Submit list of stakeholder meetings for the site visit itinerary (</w:t>
            </w:r>
            <w:hyperlink r:id="rId12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I</w:t>
              </w:r>
            </w:hyperlink>
            <w:r w:rsidRPr="22D19CE8">
              <w:rPr>
                <w:rFonts w:ascii="Georgia" w:eastAsia="Georgia" w:hAnsi="Georgia" w:cs="Georgia"/>
                <w:sz w:val="24"/>
                <w:szCs w:val="24"/>
              </w:rPr>
              <w:t>)</w:t>
            </w:r>
            <w:r w:rsidR="00383393">
              <w:rPr>
                <w:rFonts w:ascii="Georgia" w:eastAsia="Georgia" w:hAnsi="Georgia" w:cs="Georgia"/>
                <w:sz w:val="24"/>
                <w:szCs w:val="24"/>
              </w:rPr>
              <w:t xml:space="preserve">. </w:t>
            </w:r>
            <w:r w:rsidR="00383393" w:rsidRPr="22D19CE8">
              <w:rPr>
                <w:rFonts w:ascii="Georgia" w:eastAsia="Georgia" w:hAnsi="Georgia" w:cs="Georgia"/>
                <w:sz w:val="24"/>
                <w:szCs w:val="24"/>
              </w:rPr>
              <w:t>Plan the group self-study rating exercise</w:t>
            </w:r>
            <w:r w:rsidR="00383393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515359E7" w14:textId="26EBBC6B" w:rsidR="00383393" w:rsidRPr="00383393" w:rsidRDefault="00D97DCD" w:rsidP="0038339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70212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DASI.</w:t>
            </w:r>
            <w:r w:rsidRPr="0070212F">
              <w:rPr>
                <w:rFonts w:ascii="Georgia" w:eastAsia="Georgia" w:hAnsi="Georgia" w:cs="Georgia"/>
                <w:sz w:val="24"/>
                <w:szCs w:val="24"/>
              </w:rPr>
              <w:t xml:space="preserve"> Set date for completion of documents in Compliance Assist (Self-Study and executive summary are sent to EPRT t</w:t>
            </w:r>
            <w:r w:rsidR="00383393">
              <w:rPr>
                <w:rFonts w:ascii="Georgia" w:eastAsia="Georgia" w:hAnsi="Georgia" w:cs="Georgia"/>
                <w:sz w:val="24"/>
                <w:szCs w:val="24"/>
              </w:rPr>
              <w:t>hree</w:t>
            </w:r>
            <w:r w:rsidRPr="0070212F">
              <w:rPr>
                <w:rFonts w:ascii="Georgia" w:eastAsia="Georgia" w:hAnsi="Georgia" w:cs="Georgia"/>
                <w:sz w:val="24"/>
                <w:szCs w:val="24"/>
              </w:rPr>
              <w:t xml:space="preserve"> weeks prior to site visit). </w:t>
            </w:r>
          </w:p>
          <w:p w14:paraId="057A9C19" w14:textId="7832D647" w:rsidR="00D97DCD" w:rsidRPr="00383393" w:rsidRDefault="00D97DCD" w:rsidP="00383393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38339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Two months before: </w:t>
            </w:r>
          </w:p>
          <w:p w14:paraId="0A91AA36" w14:textId="3D20A821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Director / DASI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Finalize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virtual or on-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site visit itinerary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6B9D7A2A" w14:textId="6DEEA30B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Email calendar invites for interview sessions with stakeholders (See </w:t>
            </w:r>
            <w:hyperlink r:id="rId13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Q</w:t>
              </w:r>
            </w:hyperlink>
            <w:r w:rsidRPr="22D19CE8">
              <w:rPr>
                <w:rFonts w:ascii="Georgia" w:eastAsia="Georgia" w:hAnsi="Georgia" w:cs="Georgia"/>
                <w:sz w:val="24"/>
                <w:szCs w:val="24"/>
              </w:rPr>
              <w:t>)</w:t>
            </w:r>
          </w:p>
          <w:p w14:paraId="016F7E13" w14:textId="28DECFC8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Reserve locations for EPRT to meet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7897052B" w14:textId="06D604AD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Reserve hotel room(s) for EPRT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5059B148" w14:textId="5B7E0C3B" w:rsidR="00D97DCD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Reserve plane ticket(s) for EPRT, if applicable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2B8F2B97" w14:textId="5FBBA352" w:rsidR="00865A86" w:rsidRPr="00865A86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Have the EPRT members complete the contractual paperwork for honorarium</w:t>
            </w:r>
            <w:r w:rsidR="00865A86">
              <w:rPr>
                <w:rFonts w:ascii="Georgia" w:eastAsia="Georgia" w:hAnsi="Georgia" w:cs="Georgia"/>
                <w:sz w:val="24"/>
                <w:szCs w:val="24"/>
              </w:rPr>
              <w:t xml:space="preserve"> (Office of the Vice Chancellor)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78809ADA" w14:textId="3C756F9C" w:rsidR="007C4B8F" w:rsidRPr="00865A86" w:rsidRDefault="00D97DCD" w:rsidP="22D19CE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65A86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Admin.</w:t>
            </w:r>
            <w:r w:rsidRPr="00865A86">
              <w:rPr>
                <w:rFonts w:ascii="Georgia" w:eastAsia="Georgia" w:hAnsi="Georgia" w:cs="Georgia"/>
                <w:sz w:val="24"/>
                <w:szCs w:val="24"/>
              </w:rPr>
              <w:t xml:space="preserve"> Request NetIDs for EPRT from OIT to access Compliance Assist two weeks prior to the site visit </w:t>
            </w:r>
            <w:r w:rsidR="00865A86" w:rsidRPr="00865A86">
              <w:rPr>
                <w:rFonts w:ascii="Georgia" w:eastAsia="Georgia" w:hAnsi="Georgia" w:cs="Georgia"/>
                <w:sz w:val="24"/>
                <w:szCs w:val="24"/>
              </w:rPr>
              <w:t>(Office of the Vice Chancellor)</w:t>
            </w:r>
            <w:r w:rsidR="00442B62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4F0359BA" w14:textId="77777777" w:rsidR="00442B62" w:rsidRDefault="00442B62" w:rsidP="22D19CE8">
            <w:pPr>
              <w:spacing w:after="200" w:line="276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148074D7" w14:textId="77777777" w:rsidR="00EB51A0" w:rsidRDefault="00EB51A0" w:rsidP="22D19CE8">
            <w:pPr>
              <w:spacing w:after="200" w:line="276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1FBBB9F8" w14:textId="77777777" w:rsidR="00EB51A0" w:rsidRDefault="00EB51A0" w:rsidP="22D19CE8">
            <w:pPr>
              <w:spacing w:after="200" w:line="276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</w:p>
          <w:p w14:paraId="7A6088E1" w14:textId="1F0F0EE9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One month before:</w:t>
            </w:r>
          </w:p>
          <w:p w14:paraId="6C1D675A" w14:textId="52DD81FC" w:rsidR="00D97DCD" w:rsidRDefault="00D97DCD" w:rsidP="22D19CE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Make meal arrangements</w:t>
            </w:r>
            <w:r w:rsidR="00837637">
              <w:rPr>
                <w:rFonts w:ascii="Georgia" w:eastAsia="Georgia" w:hAnsi="Georgia" w:cs="Georgia"/>
                <w:sz w:val="24"/>
                <w:szCs w:val="24"/>
              </w:rPr>
              <w:t xml:space="preserve"> for on-campus dining (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dining.utk.edu/catering 4-4111</w:t>
            </w:r>
            <w:r w:rsidR="00837637">
              <w:rPr>
                <w:rFonts w:ascii="Georgia" w:eastAsia="Georgia" w:hAnsi="Georgia" w:cs="Georgia"/>
                <w:sz w:val="24"/>
                <w:szCs w:val="24"/>
              </w:rPr>
              <w:t>).</w:t>
            </w:r>
          </w:p>
          <w:p w14:paraId="6385BC20" w14:textId="74FA18CB" w:rsidR="00130D35" w:rsidRDefault="00130D35" w:rsidP="00130D3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Director.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Confirm Self-Study and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xecutive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ummary (</w:t>
            </w:r>
            <w:hyperlink r:id="rId14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H</w:t>
              </w:r>
            </w:hyperlink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)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are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ready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for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DASI review (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four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weeks prior to the site visit). </w:t>
            </w:r>
          </w:p>
          <w:p w14:paraId="05F507BD" w14:textId="159B835C" w:rsidR="00D97DCD" w:rsidRDefault="00D97DCD" w:rsidP="22D19CE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DASI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130D35">
              <w:rPr>
                <w:rFonts w:ascii="Georgia" w:eastAsia="Georgia" w:hAnsi="Georgia" w:cs="Georgia"/>
                <w:sz w:val="24"/>
                <w:szCs w:val="24"/>
              </w:rPr>
              <w:t>Provide s</w:t>
            </w:r>
            <w:r w:rsidR="00130D35" w:rsidRPr="22D19CE8">
              <w:rPr>
                <w:rFonts w:ascii="Georgia" w:eastAsia="Georgia" w:hAnsi="Georgia" w:cs="Georgia"/>
                <w:sz w:val="24"/>
                <w:szCs w:val="24"/>
              </w:rPr>
              <w:t>uggested edits</w:t>
            </w:r>
            <w:r w:rsidR="00130D35">
              <w:rPr>
                <w:rFonts w:ascii="Georgia" w:eastAsia="Georgia" w:hAnsi="Georgia" w:cs="Georgia"/>
                <w:sz w:val="24"/>
                <w:szCs w:val="24"/>
              </w:rPr>
              <w:t>/approval</w:t>
            </w:r>
            <w:r w:rsidR="00130D35"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will be provided by the DASI</w:t>
            </w:r>
            <w:r w:rsidR="00130D35">
              <w:rPr>
                <w:rFonts w:ascii="Georgia" w:eastAsia="Georgia" w:hAnsi="Georgia" w:cs="Georgia"/>
                <w:sz w:val="24"/>
                <w:szCs w:val="24"/>
              </w:rPr>
              <w:t xml:space="preserve"> and AVC within one week. </w:t>
            </w:r>
            <w:r w:rsidR="00130D35"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Email the final site visit itinerary to </w:t>
            </w:r>
            <w:r w:rsidR="00130D35"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 w:rsidR="00130D35" w:rsidRPr="22D19CE8">
              <w:rPr>
                <w:rFonts w:ascii="Georgia" w:eastAsia="Georgia" w:hAnsi="Georgia" w:cs="Georgia"/>
                <w:sz w:val="24"/>
                <w:szCs w:val="24"/>
              </w:rPr>
              <w:t>epartment director, EPRT, VC, and AVC (Upload to Compliance Assist-Document Directory)</w:t>
            </w:r>
            <w:r w:rsidR="00130D35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16E6A162" w14:textId="1115B927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Two weeks before: </w:t>
            </w:r>
          </w:p>
          <w:p w14:paraId="5F29DC90" w14:textId="70FDC0E4" w:rsidR="00D97DCD" w:rsidRDefault="00D97DCD" w:rsidP="22D19CE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Director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Confirm completion of review materials in Compliance Assist and notify DASI for final review</w:t>
            </w:r>
            <w:r w:rsidR="00ED75E4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27773BCD" w14:textId="51DDCC3C" w:rsidR="00D97DCD" w:rsidRDefault="00D97DCD" w:rsidP="22D19CE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DASI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Send materials to EPRT (itinerary, campus map, Knoxville Visitor Sheet, and link to Self-Study</w:t>
            </w:r>
            <w:r w:rsidR="00300B20">
              <w:rPr>
                <w:rFonts w:ascii="Georgia" w:eastAsia="Georgia" w:hAnsi="Georgia" w:cs="Georgia"/>
                <w:sz w:val="24"/>
                <w:szCs w:val="24"/>
              </w:rPr>
              <w:t xml:space="preserve"> in Compliance Assist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)</w:t>
            </w:r>
            <w:r w:rsidR="00ED75E4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044C4AD4" w14:textId="791AAC9E" w:rsidR="00D97DCD" w:rsidRDefault="00D97DCD" w:rsidP="22D19CE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Prepare EPRT swag bags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 xml:space="preserve"> (hotels rooms)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and folders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for 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 xml:space="preserve">on-site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review team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 xml:space="preserve"> and in the Document Directory in Compliance Assist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(itinerary, executive summary, recommendation report from previous program review, organization chart, budget sheet, and key contact information) and folders for VC, AVC, and DASI (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tinerary, executive summary, review team bios, previous review recommendations)</w:t>
            </w:r>
            <w:r w:rsidR="00ED75E4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7F9297B8" w14:textId="2F4B3AF5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Gearing up to the day of:</w:t>
            </w:r>
          </w:p>
          <w:p w14:paraId="23438328" w14:textId="47447C8E" w:rsidR="00D97DCD" w:rsidRDefault="00D97DCD" w:rsidP="22D19CE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Confirm meeting spaces - be intentional about room configuration in advance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127A7EE9" w14:textId="0F5D2DE0" w:rsidR="00D97DCD" w:rsidRDefault="00D97DCD" w:rsidP="22D19CE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Call one day prior to confirm refreshments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2F63679E" w14:textId="04B5A340" w:rsidR="00D97DCD" w:rsidRDefault="00D97DCD" w:rsidP="22D19CE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</w:t>
            </w:r>
            <w:r w:rsidRPr="0092247F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Supply pens/pencils and notepads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185F7445" w14:textId="53145CB2" w:rsidR="00D97DCD" w:rsidRPr="00831737" w:rsidRDefault="00D97DCD" w:rsidP="22D19CE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Admin/Director.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Confirm airport pick</w:t>
            </w:r>
            <w:r w:rsidR="00300B20">
              <w:rPr>
                <w:rFonts w:ascii="Georgia" w:eastAsia="Georgia" w:hAnsi="Georgia" w:cs="Georgia"/>
                <w:sz w:val="24"/>
                <w:szCs w:val="24"/>
              </w:rPr>
              <w:t>-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up and Sunday dinner arrangements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 xml:space="preserve"> if applicable.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4F3506F5" w14:textId="08F31BC2" w:rsidR="00831737" w:rsidRDefault="00831737" w:rsidP="22D19CE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DASI.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44699C">
              <w:rPr>
                <w:rFonts w:ascii="Georgia" w:eastAsiaTheme="minorEastAsia" w:hAnsi="Georgia"/>
                <w:sz w:val="24"/>
                <w:szCs w:val="24"/>
              </w:rPr>
              <w:t xml:space="preserve">Provide QR code </w:t>
            </w:r>
            <w:r w:rsidR="0044699C" w:rsidRPr="0044699C">
              <w:rPr>
                <w:rFonts w:ascii="Georgia" w:eastAsiaTheme="minorEastAsia" w:hAnsi="Georgia"/>
                <w:sz w:val="24"/>
                <w:szCs w:val="24"/>
              </w:rPr>
              <w:t>for interview participants to share anonymous feedback with the EPRT.</w:t>
            </w:r>
            <w:r w:rsidR="0044699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CF5929F" w14:textId="6805B2F7" w:rsidR="00D97DCD" w:rsidRDefault="00D97DCD" w:rsidP="22D19CE8">
            <w:pPr>
              <w:spacing w:after="200"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Follow-up:</w:t>
            </w:r>
          </w:p>
          <w:p w14:paraId="2111776F" w14:textId="61AB4AFB" w:rsidR="00D97DCD" w:rsidRDefault="00D97DCD" w:rsidP="22D19CE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DASI.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Thank you emails within a week reminding </w:t>
            </w:r>
            <w:r w:rsidR="00300B20">
              <w:rPr>
                <w:rFonts w:ascii="Georgia" w:eastAsia="Georgia" w:hAnsi="Georgia" w:cs="Georgia"/>
                <w:sz w:val="24"/>
                <w:szCs w:val="24"/>
              </w:rPr>
              <w:t>EPRT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of report deadline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>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1A5CF3AE" w14:textId="036864CA" w:rsidR="00D97DCD" w:rsidRDefault="00D97DCD" w:rsidP="22D19CE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VC Office.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Pay taxable honorariums after receipt of EPRT report (One month after on-site visit)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42C76ADD" w14:textId="56EF588C" w:rsidR="00D97DCD" w:rsidRDefault="00D97DCD" w:rsidP="22D19CE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Director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. Schedule meeting with VC and AVC to discuss response report and action plan following the receipt of the EPRT Final Report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5E93710A" w14:textId="339E2328" w:rsidR="00D97DCD" w:rsidRDefault="00D97DCD" w:rsidP="22D19CE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lastRenderedPageBreak/>
              <w:t xml:space="preserve">Director.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Prepare Department Response Report (</w:t>
            </w:r>
            <w:hyperlink r:id="rId15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H</w:t>
              </w:r>
            </w:hyperlink>
            <w:r w:rsidRPr="22D19CE8">
              <w:rPr>
                <w:rFonts w:ascii="Georgia" w:eastAsia="Georgia" w:hAnsi="Georgia" w:cs="Georgia"/>
                <w:sz w:val="24"/>
                <w:szCs w:val="24"/>
              </w:rPr>
              <w:t>) and Implementation Plan and Tracking Sheet (</w:t>
            </w:r>
            <w:hyperlink r:id="rId16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N</w:t>
              </w:r>
            </w:hyperlink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) within </w:t>
            </w:r>
            <w:r w:rsidR="00300B20">
              <w:rPr>
                <w:rFonts w:ascii="Georgia" w:eastAsia="Georgia" w:hAnsi="Georgia" w:cs="Georgia"/>
                <w:sz w:val="24"/>
                <w:szCs w:val="24"/>
              </w:rPr>
              <w:t>1-2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month</w:t>
            </w:r>
            <w:r w:rsidR="00300B20"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 xml:space="preserve"> of receiving the EPRT report</w:t>
            </w:r>
            <w:r w:rsidR="00EB51A0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  <w:p w14:paraId="058C8AC8" w14:textId="32753281" w:rsidR="00D97DCD" w:rsidRDefault="00D97DCD" w:rsidP="22D19CE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22D19CE8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Director. </w:t>
            </w:r>
            <w:r w:rsidRPr="22D19CE8">
              <w:rPr>
                <w:rFonts w:ascii="Georgia" w:eastAsia="Georgia" w:hAnsi="Georgia" w:cs="Georgia"/>
                <w:sz w:val="24"/>
                <w:szCs w:val="24"/>
              </w:rPr>
              <w:t>After the Response Report is completed, the director will share the EPRT report and action plan with staff and/or stakeholders. (See</w:t>
            </w:r>
            <w:r w:rsidRPr="22D19CE8">
              <w:rPr>
                <w:rStyle w:val="Hyperlink"/>
                <w:rFonts w:ascii="Georgia" w:eastAsia="Georgia" w:hAnsi="Georgia" w:cs="Georgia"/>
                <w:color w:val="0000FF"/>
                <w:sz w:val="24"/>
                <w:szCs w:val="24"/>
              </w:rPr>
              <w:t xml:space="preserve"> </w:t>
            </w:r>
            <w:hyperlink r:id="rId17" w:history="1">
              <w:r w:rsidRPr="008B615F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Appendix O</w:t>
              </w:r>
            </w:hyperlink>
            <w:r w:rsidRPr="22D19CE8">
              <w:rPr>
                <w:rFonts w:ascii="Georgia" w:eastAsia="Georgia" w:hAnsi="Georgia" w:cs="Georgia"/>
                <w:sz w:val="24"/>
                <w:szCs w:val="24"/>
              </w:rPr>
              <w:t>)</w:t>
            </w:r>
            <w:r w:rsidR="00415AED">
              <w:rPr>
                <w:rFonts w:ascii="Georgia" w:eastAsia="Georgia" w:hAnsi="Georgia" w:cs="Georgia"/>
                <w:sz w:val="24"/>
                <w:szCs w:val="24"/>
              </w:rPr>
              <w:t>.</w:t>
            </w:r>
          </w:p>
        </w:tc>
      </w:tr>
    </w:tbl>
    <w:p w14:paraId="4C6CE94B" w14:textId="3F26ED5B" w:rsidR="22D19CE8" w:rsidRDefault="22D19CE8" w:rsidP="22D19CE8"/>
    <w:sectPr w:rsidR="22D19CE8" w:rsidSect="00EB51A0">
      <w:headerReference w:type="default" r:id="rId18"/>
      <w:footerReference w:type="default" r:id="rId1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0A61" w14:textId="77777777" w:rsidR="00112582" w:rsidRDefault="006E3141">
      <w:pPr>
        <w:spacing w:after="0" w:line="240" w:lineRule="auto"/>
      </w:pPr>
      <w:r>
        <w:separator/>
      </w:r>
    </w:p>
  </w:endnote>
  <w:endnote w:type="continuationSeparator" w:id="0">
    <w:p w14:paraId="3E4231BA" w14:textId="77777777" w:rsidR="00112582" w:rsidRDefault="006E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D19CE8" w14:paraId="3B17EC2F" w14:textId="77777777" w:rsidTr="22D19CE8">
      <w:tc>
        <w:tcPr>
          <w:tcW w:w="3120" w:type="dxa"/>
        </w:tcPr>
        <w:p w14:paraId="0DB7114E" w14:textId="16CC0BB4" w:rsidR="22D19CE8" w:rsidRDefault="22D19CE8" w:rsidP="22D19CE8">
          <w:pPr>
            <w:pStyle w:val="Header"/>
            <w:ind w:left="-115"/>
          </w:pPr>
          <w:r>
            <w:t xml:space="preserve">Updated </w:t>
          </w:r>
          <w:r w:rsidR="002B5307">
            <w:t>4</w:t>
          </w:r>
          <w:r>
            <w:t>/2</w:t>
          </w:r>
          <w:r w:rsidR="00BD4B44">
            <w:t>2</w:t>
          </w:r>
          <w:r>
            <w:t>/202</w:t>
          </w:r>
          <w:r w:rsidR="002B5307">
            <w:t>1</w:t>
          </w:r>
          <w:r>
            <w:t xml:space="preserve"> DASI</w:t>
          </w:r>
        </w:p>
      </w:tc>
      <w:tc>
        <w:tcPr>
          <w:tcW w:w="3120" w:type="dxa"/>
        </w:tcPr>
        <w:p w14:paraId="7714CB63" w14:textId="3C99117E" w:rsidR="22D19CE8" w:rsidRDefault="22D19CE8" w:rsidP="22D19CE8">
          <w:pPr>
            <w:pStyle w:val="Header"/>
            <w:jc w:val="center"/>
          </w:pPr>
        </w:p>
      </w:tc>
      <w:tc>
        <w:tcPr>
          <w:tcW w:w="3120" w:type="dxa"/>
        </w:tcPr>
        <w:p w14:paraId="0C60DBCA" w14:textId="6A72B765" w:rsidR="22D19CE8" w:rsidRDefault="22D19CE8" w:rsidP="22D19CE8">
          <w:pPr>
            <w:pStyle w:val="Header"/>
            <w:ind w:right="-115"/>
            <w:jc w:val="right"/>
          </w:pPr>
        </w:p>
      </w:tc>
    </w:tr>
  </w:tbl>
  <w:p w14:paraId="1D94CF9C" w14:textId="57FF09E1" w:rsidR="22D19CE8" w:rsidRDefault="22D19CE8" w:rsidP="22D19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B0D6" w14:textId="77777777" w:rsidR="00112582" w:rsidRDefault="006E3141">
      <w:pPr>
        <w:spacing w:after="0" w:line="240" w:lineRule="auto"/>
      </w:pPr>
      <w:r>
        <w:separator/>
      </w:r>
    </w:p>
  </w:footnote>
  <w:footnote w:type="continuationSeparator" w:id="0">
    <w:p w14:paraId="3FE48F93" w14:textId="77777777" w:rsidR="00112582" w:rsidRDefault="006E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D19CE8" w14:paraId="6FB53C75" w14:textId="77777777" w:rsidTr="22D19CE8">
      <w:tc>
        <w:tcPr>
          <w:tcW w:w="3120" w:type="dxa"/>
        </w:tcPr>
        <w:p w14:paraId="071026D6" w14:textId="3D7F9DAC" w:rsidR="22D19CE8" w:rsidRDefault="22D19CE8" w:rsidP="22D19CE8">
          <w:pPr>
            <w:pStyle w:val="Header"/>
            <w:ind w:left="-115"/>
          </w:pPr>
        </w:p>
      </w:tc>
      <w:tc>
        <w:tcPr>
          <w:tcW w:w="3120" w:type="dxa"/>
        </w:tcPr>
        <w:p w14:paraId="3958211F" w14:textId="32098C00" w:rsidR="22D19CE8" w:rsidRDefault="22D19CE8" w:rsidP="22D19CE8">
          <w:pPr>
            <w:pStyle w:val="Header"/>
            <w:jc w:val="center"/>
          </w:pPr>
        </w:p>
      </w:tc>
      <w:tc>
        <w:tcPr>
          <w:tcW w:w="3120" w:type="dxa"/>
        </w:tcPr>
        <w:p w14:paraId="3A124326" w14:textId="59DB8BF2" w:rsidR="22D19CE8" w:rsidRDefault="22D19CE8" w:rsidP="22D19CE8">
          <w:pPr>
            <w:pStyle w:val="Header"/>
            <w:ind w:right="-115"/>
            <w:jc w:val="right"/>
          </w:pPr>
        </w:p>
      </w:tc>
    </w:tr>
  </w:tbl>
  <w:p w14:paraId="733D530F" w14:textId="3C0487C4" w:rsidR="22D19CE8" w:rsidRDefault="22D19CE8" w:rsidP="22D19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E4E"/>
    <w:multiLevelType w:val="hybridMultilevel"/>
    <w:tmpl w:val="951CD4D8"/>
    <w:lvl w:ilvl="0" w:tplc="03D660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267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C5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C8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49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3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42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6F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2D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137"/>
    <w:multiLevelType w:val="hybridMultilevel"/>
    <w:tmpl w:val="E4ECD082"/>
    <w:lvl w:ilvl="0" w:tplc="8B4C7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0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E0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CA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AF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565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4B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E1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C4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0DBB"/>
    <w:multiLevelType w:val="hybridMultilevel"/>
    <w:tmpl w:val="C79C2E22"/>
    <w:lvl w:ilvl="0" w:tplc="20ACDD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1A4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67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0A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0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C1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28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C7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778E2"/>
    <w:multiLevelType w:val="hybridMultilevel"/>
    <w:tmpl w:val="81D40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4511E"/>
    <w:multiLevelType w:val="hybridMultilevel"/>
    <w:tmpl w:val="8424B71C"/>
    <w:lvl w:ilvl="0" w:tplc="31F052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6ED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87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43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AD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AC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C4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82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A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80359"/>
    <w:rsid w:val="0007748E"/>
    <w:rsid w:val="00112582"/>
    <w:rsid w:val="00130D35"/>
    <w:rsid w:val="001A1059"/>
    <w:rsid w:val="00281775"/>
    <w:rsid w:val="002A0257"/>
    <w:rsid w:val="002B5307"/>
    <w:rsid w:val="00300B20"/>
    <w:rsid w:val="00383393"/>
    <w:rsid w:val="00415AED"/>
    <w:rsid w:val="00442B62"/>
    <w:rsid w:val="0044699C"/>
    <w:rsid w:val="004E6FE2"/>
    <w:rsid w:val="005830D3"/>
    <w:rsid w:val="00696290"/>
    <w:rsid w:val="006E3141"/>
    <w:rsid w:val="006F6872"/>
    <w:rsid w:val="0070212F"/>
    <w:rsid w:val="007C4B8F"/>
    <w:rsid w:val="0080229A"/>
    <w:rsid w:val="00831737"/>
    <w:rsid w:val="00837637"/>
    <w:rsid w:val="00865A86"/>
    <w:rsid w:val="008B615F"/>
    <w:rsid w:val="008D6C19"/>
    <w:rsid w:val="0092247F"/>
    <w:rsid w:val="009568EF"/>
    <w:rsid w:val="00B657CC"/>
    <w:rsid w:val="00BD4B44"/>
    <w:rsid w:val="00C764BC"/>
    <w:rsid w:val="00D95E1C"/>
    <w:rsid w:val="00D97DCD"/>
    <w:rsid w:val="00E403A1"/>
    <w:rsid w:val="00EB51A0"/>
    <w:rsid w:val="00ED75E4"/>
    <w:rsid w:val="05C97FDC"/>
    <w:rsid w:val="1D4B1BF4"/>
    <w:rsid w:val="22D19CE8"/>
    <w:rsid w:val="24FECCA7"/>
    <w:rsid w:val="41F7E4DE"/>
    <w:rsid w:val="45B1F56C"/>
    <w:rsid w:val="4AD7CFDD"/>
    <w:rsid w:val="53580359"/>
    <w:rsid w:val="6B40B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0359"/>
  <w15:chartTrackingRefBased/>
  <w15:docId w15:val="{549EB885-A764-4E43-B7B8-426BFFE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B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lassessment.utk.edu/wp-content/uploads/sites/62/2020/02/Program-Review-Guidelines-2019_03.09.21.pdf" TargetMode="External"/><Relationship Id="rId13" Type="http://schemas.openxmlformats.org/officeDocument/2006/relationships/hyperlink" Target="https://dslassessment.utk.edu/wp-content/uploads/sites/62/2020/02/Program-Review-Guidelines-2019_03.09.21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slassessment.utk.edu/wp-content/uploads/sites/62/2020/02/Program-Review-Guidelines-2019_03.09.21.pdf" TargetMode="External"/><Relationship Id="rId17" Type="http://schemas.openxmlformats.org/officeDocument/2006/relationships/hyperlink" Target="https://dslassessment.utk.edu/wp-content/uploads/sites/62/2020/02/Program-Review-Guidelines-2019_03.09.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lassessment.utk.edu/wp-content/uploads/sites/62/2020/02/Program-Review-Guidelines-2019_03.09.2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lassessment.utk.edu/wp-content/uploads/sites/62/2020/02/Program-Review-Guidelines-2019_03.09.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lassessment.utk.edu/wp-content/uploads/sites/62/2020/02/Program-Review-Guidelines-2019_03.09.21.pdf" TargetMode="External"/><Relationship Id="rId10" Type="http://schemas.openxmlformats.org/officeDocument/2006/relationships/hyperlink" Target="https://dslassessment.utk.edu/wp-content/uploads/sites/62/2020/02/Program-Review-Guidelines-2019_03.09.2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slassessment.utk.edu/wp-content/uploads/sites/62/2020/02/Program-Review-Guidelines-2019_03.09.21.pdf" TargetMode="External"/><Relationship Id="rId14" Type="http://schemas.openxmlformats.org/officeDocument/2006/relationships/hyperlink" Target="https://dslassessment.utk.edu/wp-content/uploads/sites/62/2020/02/Program-Review-Guidelines-2019_03.09.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Life Assessment and Strategic Planning</dc:creator>
  <cp:keywords/>
  <dc:description/>
  <cp:lastModifiedBy>Student Life Assessment and Strategic Planning</cp:lastModifiedBy>
  <cp:revision>3</cp:revision>
  <cp:lastPrinted>2021-04-20T20:31:00Z</cp:lastPrinted>
  <dcterms:created xsi:type="dcterms:W3CDTF">2021-04-22T18:38:00Z</dcterms:created>
  <dcterms:modified xsi:type="dcterms:W3CDTF">2021-04-22T18:38:00Z</dcterms:modified>
</cp:coreProperties>
</file>